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63" w:rsidRDefault="00E3386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3863" w:rsidRDefault="00E33863">
      <w:pPr>
        <w:pStyle w:val="ConsPlusNormal"/>
        <w:jc w:val="both"/>
        <w:outlineLvl w:val="0"/>
      </w:pPr>
    </w:p>
    <w:p w:rsidR="00E33863" w:rsidRDefault="00E33863">
      <w:pPr>
        <w:pStyle w:val="ConsPlusNormal"/>
        <w:outlineLvl w:val="0"/>
      </w:pPr>
      <w:r>
        <w:t>Зарегистрировано в Минюсте России 22 декабря 2014 г. N 35294</w:t>
      </w:r>
    </w:p>
    <w:p w:rsidR="00E33863" w:rsidRDefault="00E33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33863" w:rsidRDefault="00E33863">
      <w:pPr>
        <w:pStyle w:val="ConsPlusTitle"/>
        <w:jc w:val="center"/>
      </w:pPr>
    </w:p>
    <w:p w:rsidR="00E33863" w:rsidRDefault="00E33863">
      <w:pPr>
        <w:pStyle w:val="ConsPlusTitle"/>
        <w:jc w:val="center"/>
      </w:pPr>
      <w:r>
        <w:t>ПРИКАЗ</w:t>
      </w:r>
    </w:p>
    <w:p w:rsidR="00E33863" w:rsidRDefault="00E33863">
      <w:pPr>
        <w:pStyle w:val="ConsPlusTitle"/>
        <w:jc w:val="center"/>
      </w:pPr>
      <w:r>
        <w:t>от 26 ноября 2014 г. N 1518</w:t>
      </w:r>
    </w:p>
    <w:p w:rsidR="00E33863" w:rsidRDefault="00E33863">
      <w:pPr>
        <w:pStyle w:val="ConsPlusTitle"/>
        <w:jc w:val="center"/>
      </w:pPr>
    </w:p>
    <w:p w:rsidR="00E33863" w:rsidRDefault="00E33863">
      <w:pPr>
        <w:pStyle w:val="ConsPlusTitle"/>
        <w:jc w:val="center"/>
      </w:pPr>
      <w:r>
        <w:t>ОБ УТВЕРЖДЕНИИ</w:t>
      </w:r>
    </w:p>
    <w:p w:rsidR="00E33863" w:rsidRDefault="00E3386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33863" w:rsidRDefault="00E33863">
      <w:pPr>
        <w:pStyle w:val="ConsPlusTitle"/>
        <w:jc w:val="center"/>
      </w:pPr>
      <w:r>
        <w:t>ВЫСШЕГО ОБРАЗОВАНИЯ ПО НАПРАВЛЕНИЮ ПОДГОТОВКИ 38.04.04</w:t>
      </w:r>
    </w:p>
    <w:p w:rsidR="00E33863" w:rsidRDefault="00E33863">
      <w:pPr>
        <w:pStyle w:val="ConsPlusTitle"/>
        <w:jc w:val="center"/>
      </w:pPr>
      <w:r>
        <w:t>ГОСУДАРСТВЕННОЕ И МУНИЦИПАЛЬНОЕ УПРАВЛЕНИЕ</w:t>
      </w:r>
    </w:p>
    <w:p w:rsidR="00E33863" w:rsidRDefault="00E33863">
      <w:pPr>
        <w:pStyle w:val="ConsPlusTitle"/>
        <w:jc w:val="center"/>
      </w:pPr>
      <w:r>
        <w:t>(УРОВЕНЬ МАГИСТРАТУРЫ)</w:t>
      </w:r>
    </w:p>
    <w:p w:rsidR="00E33863" w:rsidRDefault="00E33863">
      <w:pPr>
        <w:pStyle w:val="ConsPlusNormal"/>
        <w:jc w:val="center"/>
      </w:pPr>
      <w:r>
        <w:t>Список изменяющих документов</w:t>
      </w:r>
    </w:p>
    <w:p w:rsidR="00E33863" w:rsidRDefault="00E3386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13.07.2017 N 653)</w:t>
      </w:r>
    </w:p>
    <w:p w:rsidR="00E33863" w:rsidRDefault="00E33863">
      <w:pPr>
        <w:pStyle w:val="ConsPlusNormal"/>
        <w:jc w:val="center"/>
      </w:pPr>
    </w:p>
    <w:p w:rsidR="00E33863" w:rsidRDefault="00E3386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38.04.04 Государственное и муниципальное управление (уровень магистратуры).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33863" w:rsidRDefault="00E3386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февраля 2010 г. N 123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"магистр")" (зарегистрирован Министерством юстиции Российской Федерации 23 марта 2010 г., регистрационный N 16697);</w:t>
      </w:r>
    </w:p>
    <w:p w:rsidR="00E33863" w:rsidRDefault="00E3386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76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jc w:val="right"/>
      </w:pPr>
      <w:r>
        <w:t>Министр</w:t>
      </w:r>
    </w:p>
    <w:p w:rsidR="00E33863" w:rsidRDefault="00E33863">
      <w:pPr>
        <w:pStyle w:val="ConsPlusNormal"/>
        <w:jc w:val="right"/>
      </w:pPr>
      <w:r>
        <w:t>Д.В.ЛИВАНОВ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jc w:val="right"/>
        <w:outlineLvl w:val="0"/>
      </w:pPr>
      <w:r>
        <w:lastRenderedPageBreak/>
        <w:t>Приложение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jc w:val="right"/>
      </w:pPr>
      <w:r>
        <w:t>Утвержден</w:t>
      </w:r>
    </w:p>
    <w:p w:rsidR="00E33863" w:rsidRDefault="00E33863">
      <w:pPr>
        <w:pStyle w:val="ConsPlusNormal"/>
        <w:jc w:val="right"/>
      </w:pPr>
      <w:r>
        <w:t>приказом Министерства образования</w:t>
      </w:r>
    </w:p>
    <w:p w:rsidR="00E33863" w:rsidRDefault="00E33863">
      <w:pPr>
        <w:pStyle w:val="ConsPlusNormal"/>
        <w:jc w:val="right"/>
      </w:pPr>
      <w:r>
        <w:t>и науки Российской Федерации</w:t>
      </w:r>
    </w:p>
    <w:p w:rsidR="00E33863" w:rsidRDefault="00E33863">
      <w:pPr>
        <w:pStyle w:val="ConsPlusNormal"/>
        <w:jc w:val="right"/>
      </w:pPr>
      <w:r>
        <w:t>от 26 ноября 2014 г. N 1518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E33863" w:rsidRDefault="00E33863">
      <w:pPr>
        <w:pStyle w:val="ConsPlusTitle"/>
        <w:jc w:val="center"/>
      </w:pPr>
      <w:r>
        <w:t>ВЫСШЕГО ОБРАЗОВАНИЯ</w:t>
      </w:r>
    </w:p>
    <w:p w:rsidR="00E33863" w:rsidRDefault="00E33863">
      <w:pPr>
        <w:pStyle w:val="ConsPlusTitle"/>
        <w:jc w:val="center"/>
      </w:pPr>
    </w:p>
    <w:p w:rsidR="00E33863" w:rsidRDefault="00E33863">
      <w:pPr>
        <w:pStyle w:val="ConsPlusTitle"/>
        <w:jc w:val="center"/>
      </w:pPr>
      <w:r>
        <w:t>УРОВЕНЬ ВЫСШЕГО ОБРАЗОВАНИЯ</w:t>
      </w:r>
    </w:p>
    <w:p w:rsidR="00E33863" w:rsidRDefault="00E33863">
      <w:pPr>
        <w:pStyle w:val="ConsPlusTitle"/>
        <w:jc w:val="center"/>
      </w:pPr>
      <w:r>
        <w:t>МАГИСТРАТУРА</w:t>
      </w:r>
    </w:p>
    <w:p w:rsidR="00E33863" w:rsidRDefault="00E33863">
      <w:pPr>
        <w:pStyle w:val="ConsPlusTitle"/>
        <w:jc w:val="center"/>
      </w:pPr>
    </w:p>
    <w:p w:rsidR="00E33863" w:rsidRDefault="00E33863">
      <w:pPr>
        <w:pStyle w:val="ConsPlusTitle"/>
        <w:jc w:val="center"/>
      </w:pPr>
      <w:r>
        <w:t>НАПРАВЛЕНИЕ ПОДГОТОВКИ</w:t>
      </w:r>
    </w:p>
    <w:p w:rsidR="00E33863" w:rsidRDefault="00E33863">
      <w:pPr>
        <w:pStyle w:val="ConsPlusTitle"/>
        <w:jc w:val="center"/>
      </w:pPr>
      <w:r>
        <w:t>38.04.04 ГОСУДАРСТВЕННОЕ И МУНИЦИПАЛЬНОЕ УПРАВЛЕНИЕ</w:t>
      </w:r>
    </w:p>
    <w:p w:rsidR="00E33863" w:rsidRDefault="00E33863">
      <w:pPr>
        <w:pStyle w:val="ConsPlusNormal"/>
        <w:jc w:val="center"/>
      </w:pPr>
      <w:r>
        <w:t>Список изменяющих документов</w:t>
      </w:r>
    </w:p>
    <w:p w:rsidR="00E33863" w:rsidRDefault="00E33863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13.07.2017 N 653)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Title"/>
        <w:jc w:val="center"/>
        <w:outlineLvl w:val="1"/>
      </w:pPr>
      <w:r>
        <w:t>I. ОБЛАСТЬ ПРИМЕНЕНИЯ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38.04.04 Государственное и муниципальное управление (далее соответственно - программа магистратуры, направление подготовки).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Title"/>
        <w:jc w:val="center"/>
        <w:outlineLvl w:val="1"/>
      </w:pPr>
      <w:r>
        <w:t>II. ИСПОЛЬЗУЕМЫЕ СОКРАЩЕНИЯ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E33863" w:rsidRDefault="00E338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Title"/>
        <w:jc w:val="center"/>
        <w:outlineLvl w:val="1"/>
      </w:pPr>
      <w:r>
        <w:t>III. ХАРАКТЕРИСТИКА НАПРАВЛЕНИЯ ПОДГОТОВКИ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lastRenderedPageBreak/>
        <w:t>3.3. Срок получения образования по программе магистратуры: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 по сравнению со сроком получения образования по очной форме обучения. Объем программы магистратуры в очно-заочной или заочной формах обучения, реализуемый за один учебный год, определяется организацией самостоятельно;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Title"/>
        <w:jc w:val="center"/>
        <w:outlineLvl w:val="1"/>
      </w:pPr>
      <w:r>
        <w:t>IV. ХАРАКТЕРИСТИКА ПРОФЕССИОНАЛЬНОЙ ДЕЯТЕЛЬНОСТИ</w:t>
      </w:r>
    </w:p>
    <w:p w:rsidR="00E33863" w:rsidRDefault="00E33863">
      <w:pPr>
        <w:pStyle w:val="ConsPlusTitle"/>
        <w:jc w:val="center"/>
      </w:pPr>
      <w:r>
        <w:t>ВЫПУСКНИКОВ, ОСВОИВШИХ ПРОГРАММУ МАГИСТРАТУРЫ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государственное и муниципальное управление;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управление в государственных и муниципальных учреждениях и предприятиях;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управление в социальной сфере;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управление в некоммерческих организациях и иных организациях на должностях по связям с государственными органами и гражданами.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Объектами профессиональной деятельности выпускников, освоивших программу магистратуры, являются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предприятия и учреждения, институты гражданского общества, общественные организации, некоммерческие и коммерческие организации, международные организации и международные органы управления, иные организации, </w:t>
      </w:r>
      <w:r>
        <w:lastRenderedPageBreak/>
        <w:t>подразделения по связям с государственными и муниципальными органами и гражданами.</w:t>
      </w:r>
      <w:proofErr w:type="gramEnd"/>
    </w:p>
    <w:p w:rsidR="00E33863" w:rsidRDefault="00E33863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административно-технологическая;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консультационная и информационно-аналитическая;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проектная;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научно-исследовательская и педагогическая.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ориентированной на практико-ориентированный и (или) прикладной вид (виды) профессиональной деятельности как основной (основные) (далее - программа прикладной магистратуры).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осуществление стратегического управления в интересах общества и государства, включая постановку общественно значимых целей, формирование условий их достижения, организацию работы для получения максимально возможных результатов;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анализ состояния экономики отраслей бюджетного сектора, отдельных организаций, определение экономических последствий подготавливаемых или принятых решений;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проведение кадровой политики и кадрового аудита, формирование коллектива и организацию коллективной работы, умение максимально использовать кадровый потенциал, мотивируя и развивая кадры с целью обеспечения наибольшей результативности их труда;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улучшение деятельности сотрудников организации на основе личного примера, умения обучаться и совершенствовать работу с учетом опыта и новых идей, проявления лидерских качеств, умения принимать взвешенные решения, убеждать в целесообразности этих решений и воплощать решения в жизнь, оценивать последствия исполнения решений;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организация взаимодействия с внешней средой (другими государственными и муниципальными органами, организациями, гражданами);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административно-технологическая деятельность: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lastRenderedPageBreak/>
        <w:t>применение законодательства, нормативно-правовых процедур в административной деятельности, в том числе подготовка проектов нормативных правовых актов, их технико-экономическое обоснование;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оптимизация деловых процессов, ведение документооборота и деловой переписки с гражданами и внешними организациями, в том числе на иностранном языке;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консультационная и информационно-аналитическая деятельность: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консультирование государственных, некоммерческих и хозяйственных организаций;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формирование баз данных, оценка их полноты и качества, применение этих данных для экспертной оценки реальных управленческих ситуаций;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разработка административных регламентов, проектов должностных регламентов государственных и муниципальных служащих, должностных обязанностей сотрудников организаций;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проектная деятельность: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составление прогнозов развития организаций, учреждений и отдельных отраслей и предприятий, регионов (с учетом имеющихся социальных, экологических проблем, соблюдения требований безопасности);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разработка программ социально-экономического развития федерального, регионального и местного уровня;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обоснование и анализ исполнения социальных и экономических программ с использованием методов проектного анализа;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разработка технико-экономического обоснования и определение вероятной эффективности инвестиционных проектов, в том числе и в социальной сфере;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научно-исследовательская и педагогическая деятельность: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участие в научно-исследовательских работах по проблемам государственного и муниципального управления, подготовка обзоров и аналитических исследований по отдельным темам направления подготовки;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подготовка и апробация отдельных образовательных программ и курсов, представление результатов исследований для других специалистов.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Title"/>
        <w:jc w:val="center"/>
        <w:outlineLvl w:val="1"/>
      </w:pPr>
      <w:r>
        <w:t>V. ТРЕБОВАНИЯ К РЕЗУЛЬТАТАМ ОСВОЕНИЯ ПРОГРАММЫ МАГИСТРАТУРЫ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lastRenderedPageBreak/>
        <w:t>5.3. Выпускник, освоивший программу магистратуры, должен обладать следующими общепрофессиональными компетенциями:</w:t>
      </w:r>
    </w:p>
    <w:p w:rsidR="00E33863" w:rsidRDefault="00E33863">
      <w:pPr>
        <w:pStyle w:val="ConsPlusNormal"/>
        <w:spacing w:before="220"/>
        <w:ind w:firstLine="540"/>
        <w:jc w:val="both"/>
      </w:pPr>
      <w:proofErr w:type="gramStart"/>
      <w:r>
        <w:t>способностью к анализу, планированию и организации профессиональной деятельности (ОПК-1);</w:t>
      </w:r>
      <w:proofErr w:type="gramEnd"/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в области профессиональной деятельности (ОПК-2);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(ОПК-3).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E33863" w:rsidRDefault="00E33863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владением технологиями управления персоналом, обладанием умениями и готовностью формировать команды для решения поставленных задач (ПК-1);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владением организационными способностями, умением находить и принимать организационные управленческие решения, в том числе и в кризисных ситуациях (ПК-2);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способностью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 (ПК-3);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владением способностью к анализу и планированию в области государственного и муниципального управления (ПК-4);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административно-технологическая деятельность: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владением современными методами диагностики, анализа и решения социально-экономических проблем, а также методами принятия решений и их реализации на практике (ПК-5);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способностью понимать современные тенденции развития политических процессов в мире, мировой экономики и глобализации, ориентироваться в вопросах международной конкуренции (ПК-6);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способностью разрабатывать системы стратегического, текущего и оперативного контроля (ПК-7);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владением принципами и современными методами управления операциями в различных сферах деятельности (ПК-8);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владением навыками использования инструментов экономической политики (ПК-9);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способностью вырабатывать решения, учитывающие правовую и нормативную базу (ПК-10);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консультационная и информационно-аналитическая деятельность: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способностью осуществлять верификацию и структуризацию информации, получаемой из разных источников (ПК-11);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lastRenderedPageBreak/>
        <w:t>способностью использовать информационные технологии для решения различных исследовательских и административных задач (ПК-12);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способностью критически оценивать информацию и конструктивно принимать решение на основе анализа и синтеза (ПК-13);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проектная деятельность: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способностью систематизировать и обобщать информацию, готовить предложения по совершенствованию системы государственного и муниципального управления (ПК-14);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способностью выдвигать инновационные идеи и нестандартные подходы к их реализации (ПК-15);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способностью к кооперации в рамках междисциплинарных проектов, работе в смежных областях (ПК-16);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способностью использовать знание методов и теорий гуманитарных, социальных и экономических наук при осуществлении экспертных и аналитических работ (ПК-17);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научно-исследовательская и педагогическая деятельность: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владением методами и специализированными средствами для аналитической работы и научных исследований (ПК-18);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владением методикой анализа экономики общественного сектора, макроэкономическими подходами к объяснению функций и деятельности государства (ПК-19);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владением методами и инструментальными средствами, способствующими интенсификации познавательной деятельности (ПК-20).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Title"/>
        <w:jc w:val="center"/>
        <w:outlineLvl w:val="1"/>
      </w:pPr>
      <w:r>
        <w:t>VI. ТРЕБОВАНИЯ К СТРУКТУРЕ ПРОГРАММЫ МАГИСТРАТУРЫ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6.2. Программа магистратуры состоит из следующих блоков: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lastRenderedPageBreak/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3863" w:rsidRDefault="00E3386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E33863" w:rsidRDefault="00E33863">
      <w:pPr>
        <w:pStyle w:val="ConsPlusNormal"/>
        <w:jc w:val="both"/>
      </w:pPr>
    </w:p>
    <w:p w:rsidR="00E33863" w:rsidRDefault="00E33863">
      <w:pPr>
        <w:sectPr w:rsidR="00E33863" w:rsidSect="002F7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863" w:rsidRDefault="00E33863">
      <w:pPr>
        <w:pStyle w:val="ConsPlusTitle"/>
        <w:jc w:val="center"/>
        <w:outlineLvl w:val="2"/>
      </w:pPr>
      <w:r>
        <w:lastRenderedPageBreak/>
        <w:t>Структура программы магистратуры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jc w:val="right"/>
      </w:pPr>
      <w:r>
        <w:t>Таблица</w:t>
      </w:r>
    </w:p>
    <w:p w:rsidR="00E33863" w:rsidRDefault="00E338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6240"/>
        <w:gridCol w:w="2280"/>
      </w:tblGrid>
      <w:tr w:rsidR="00E33863">
        <w:tc>
          <w:tcPr>
            <w:tcW w:w="7380" w:type="dxa"/>
            <w:gridSpan w:val="2"/>
          </w:tcPr>
          <w:p w:rsidR="00E33863" w:rsidRDefault="00E33863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280" w:type="dxa"/>
          </w:tcPr>
          <w:p w:rsidR="00E33863" w:rsidRDefault="00E33863">
            <w:pPr>
              <w:pStyle w:val="ConsPlusNormal"/>
              <w:jc w:val="center"/>
            </w:pPr>
            <w:r>
              <w:t xml:space="preserve">Объем программы магистратуры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E33863">
        <w:tc>
          <w:tcPr>
            <w:tcW w:w="1140" w:type="dxa"/>
            <w:vMerge w:val="restart"/>
          </w:tcPr>
          <w:p w:rsidR="00E33863" w:rsidRDefault="00E33863">
            <w:pPr>
              <w:pStyle w:val="ConsPlusNormal"/>
            </w:pPr>
            <w:r>
              <w:t>Блок 1</w:t>
            </w:r>
          </w:p>
        </w:tc>
        <w:tc>
          <w:tcPr>
            <w:tcW w:w="6240" w:type="dxa"/>
          </w:tcPr>
          <w:p w:rsidR="00E33863" w:rsidRDefault="00E3386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280" w:type="dxa"/>
          </w:tcPr>
          <w:p w:rsidR="00E33863" w:rsidRDefault="00E33863">
            <w:pPr>
              <w:pStyle w:val="ConsPlusNormal"/>
              <w:jc w:val="center"/>
            </w:pPr>
            <w:r>
              <w:t>81 - 84</w:t>
            </w:r>
          </w:p>
        </w:tc>
      </w:tr>
      <w:tr w:rsidR="00E33863">
        <w:tc>
          <w:tcPr>
            <w:tcW w:w="1140" w:type="dxa"/>
            <w:vMerge/>
          </w:tcPr>
          <w:p w:rsidR="00E33863" w:rsidRDefault="00E33863"/>
        </w:tc>
        <w:tc>
          <w:tcPr>
            <w:tcW w:w="6240" w:type="dxa"/>
          </w:tcPr>
          <w:p w:rsidR="00E33863" w:rsidRDefault="00E33863">
            <w:pPr>
              <w:pStyle w:val="ConsPlusNormal"/>
            </w:pPr>
            <w:r>
              <w:t>Базовая часть</w:t>
            </w:r>
          </w:p>
        </w:tc>
        <w:tc>
          <w:tcPr>
            <w:tcW w:w="2280" w:type="dxa"/>
          </w:tcPr>
          <w:p w:rsidR="00E33863" w:rsidRDefault="00E33863">
            <w:pPr>
              <w:pStyle w:val="ConsPlusNormal"/>
              <w:jc w:val="center"/>
            </w:pPr>
            <w:r>
              <w:t>15 - 21</w:t>
            </w:r>
          </w:p>
        </w:tc>
      </w:tr>
      <w:tr w:rsidR="00E33863">
        <w:tc>
          <w:tcPr>
            <w:tcW w:w="1140" w:type="dxa"/>
            <w:vMerge/>
          </w:tcPr>
          <w:p w:rsidR="00E33863" w:rsidRDefault="00E33863"/>
        </w:tc>
        <w:tc>
          <w:tcPr>
            <w:tcW w:w="6240" w:type="dxa"/>
          </w:tcPr>
          <w:p w:rsidR="00E33863" w:rsidRDefault="00E3386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80" w:type="dxa"/>
          </w:tcPr>
          <w:p w:rsidR="00E33863" w:rsidRDefault="00E33863">
            <w:pPr>
              <w:pStyle w:val="ConsPlusNormal"/>
              <w:jc w:val="center"/>
            </w:pPr>
            <w:r>
              <w:t>63 - 66</w:t>
            </w:r>
          </w:p>
        </w:tc>
      </w:tr>
      <w:tr w:rsidR="00E33863">
        <w:tc>
          <w:tcPr>
            <w:tcW w:w="1140" w:type="dxa"/>
            <w:vMerge w:val="restart"/>
          </w:tcPr>
          <w:p w:rsidR="00E33863" w:rsidRDefault="00E33863">
            <w:pPr>
              <w:pStyle w:val="ConsPlusNormal"/>
            </w:pPr>
            <w:r>
              <w:t>Блок 2</w:t>
            </w:r>
          </w:p>
        </w:tc>
        <w:tc>
          <w:tcPr>
            <w:tcW w:w="6240" w:type="dxa"/>
          </w:tcPr>
          <w:p w:rsidR="00E33863" w:rsidRDefault="00E33863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280" w:type="dxa"/>
          </w:tcPr>
          <w:p w:rsidR="00E33863" w:rsidRDefault="00E33863">
            <w:pPr>
              <w:pStyle w:val="ConsPlusNormal"/>
              <w:jc w:val="center"/>
            </w:pPr>
            <w:r>
              <w:t>27 - 33</w:t>
            </w:r>
          </w:p>
        </w:tc>
      </w:tr>
      <w:tr w:rsidR="00E33863">
        <w:tc>
          <w:tcPr>
            <w:tcW w:w="1140" w:type="dxa"/>
            <w:vMerge/>
          </w:tcPr>
          <w:p w:rsidR="00E33863" w:rsidRDefault="00E33863"/>
        </w:tc>
        <w:tc>
          <w:tcPr>
            <w:tcW w:w="6240" w:type="dxa"/>
          </w:tcPr>
          <w:p w:rsidR="00E33863" w:rsidRDefault="00E3386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80" w:type="dxa"/>
          </w:tcPr>
          <w:p w:rsidR="00E33863" w:rsidRDefault="00E33863">
            <w:pPr>
              <w:pStyle w:val="ConsPlusNormal"/>
              <w:jc w:val="center"/>
            </w:pPr>
            <w:r>
              <w:t>27 - 33</w:t>
            </w:r>
          </w:p>
        </w:tc>
      </w:tr>
      <w:tr w:rsidR="00E33863">
        <w:tc>
          <w:tcPr>
            <w:tcW w:w="1140" w:type="dxa"/>
          </w:tcPr>
          <w:p w:rsidR="00E33863" w:rsidRDefault="00E33863">
            <w:pPr>
              <w:pStyle w:val="ConsPlusNormal"/>
            </w:pPr>
            <w:r>
              <w:t>Блок 3</w:t>
            </w:r>
          </w:p>
        </w:tc>
        <w:tc>
          <w:tcPr>
            <w:tcW w:w="6240" w:type="dxa"/>
          </w:tcPr>
          <w:p w:rsidR="00E33863" w:rsidRDefault="00E3386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80" w:type="dxa"/>
          </w:tcPr>
          <w:p w:rsidR="00E33863" w:rsidRDefault="00E33863">
            <w:pPr>
              <w:pStyle w:val="ConsPlusNormal"/>
              <w:jc w:val="center"/>
            </w:pPr>
            <w:r>
              <w:t>6 - 9</w:t>
            </w:r>
          </w:p>
        </w:tc>
      </w:tr>
      <w:tr w:rsidR="00E33863">
        <w:tc>
          <w:tcPr>
            <w:tcW w:w="7380" w:type="dxa"/>
            <w:gridSpan w:val="2"/>
          </w:tcPr>
          <w:p w:rsidR="00E33863" w:rsidRDefault="00E33863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280" w:type="dxa"/>
          </w:tcPr>
          <w:p w:rsidR="00E33863" w:rsidRDefault="00E33863">
            <w:pPr>
              <w:pStyle w:val="ConsPlusNormal"/>
              <w:jc w:val="center"/>
            </w:pPr>
            <w:r>
              <w:t>120</w:t>
            </w:r>
          </w:p>
        </w:tc>
      </w:tr>
    </w:tbl>
    <w:p w:rsidR="00E33863" w:rsidRDefault="00E33863">
      <w:pPr>
        <w:sectPr w:rsidR="00E338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6.5. В Блок 2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НИР.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Способы проведения учебной и производственной практик:</w:t>
      </w:r>
    </w:p>
    <w:p w:rsidR="00E33863" w:rsidRPr="0013221E" w:rsidRDefault="00E33863">
      <w:pPr>
        <w:pStyle w:val="ConsPlusNormal"/>
        <w:spacing w:before="220"/>
        <w:ind w:firstLine="540"/>
        <w:jc w:val="both"/>
        <w:rPr>
          <w:highlight w:val="red"/>
        </w:rPr>
      </w:pPr>
      <w:bookmarkStart w:id="1" w:name="_GoBack"/>
      <w:bookmarkEnd w:id="1"/>
      <w:r w:rsidRPr="0013221E">
        <w:rPr>
          <w:highlight w:val="red"/>
        </w:rPr>
        <w:t>выездная;</w:t>
      </w:r>
    </w:p>
    <w:p w:rsidR="00E33863" w:rsidRDefault="00E33863">
      <w:pPr>
        <w:pStyle w:val="ConsPlusNormal"/>
        <w:jc w:val="both"/>
      </w:pPr>
      <w:r w:rsidRPr="0013221E">
        <w:rPr>
          <w:highlight w:val="red"/>
        </w:rPr>
        <w:t xml:space="preserve">(абзац введен </w:t>
      </w:r>
      <w:hyperlink r:id="rId13" w:history="1">
        <w:r w:rsidRPr="0013221E">
          <w:rPr>
            <w:color w:val="0000FF"/>
            <w:highlight w:val="red"/>
          </w:rPr>
          <w:t>Приказом</w:t>
        </w:r>
      </w:hyperlink>
      <w:r w:rsidRPr="0013221E">
        <w:rPr>
          <w:highlight w:val="red"/>
        </w:rPr>
        <w:t xml:space="preserve"> </w:t>
      </w:r>
      <w:proofErr w:type="spellStart"/>
      <w:r w:rsidRPr="0013221E">
        <w:rPr>
          <w:highlight w:val="red"/>
        </w:rPr>
        <w:t>Минобрнауки</w:t>
      </w:r>
      <w:proofErr w:type="spellEnd"/>
      <w:r w:rsidRPr="0013221E">
        <w:rPr>
          <w:highlight w:val="red"/>
        </w:rPr>
        <w:t xml:space="preserve"> России от 13.07.2017 N 653)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стационарная.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6.6.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lastRenderedPageBreak/>
        <w:t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6.8. Количество часов, отведенных на занятия лекционного типа, в целом по Блоку 1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Title"/>
        <w:jc w:val="center"/>
        <w:outlineLvl w:val="1"/>
      </w:pPr>
      <w:r>
        <w:t>VII. ТРЕБОВАНИЯ К УСЛОВИЯМ РЕАЛИЗАЦИИ</w:t>
      </w:r>
    </w:p>
    <w:p w:rsidR="00E33863" w:rsidRDefault="00E33863">
      <w:pPr>
        <w:pStyle w:val="ConsPlusTitle"/>
        <w:jc w:val="center"/>
      </w:pPr>
      <w:r>
        <w:t>ПРОГРАММЫ МАГИСТРАТУРЫ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Title"/>
        <w:ind w:firstLine="540"/>
        <w:jc w:val="both"/>
        <w:outlineLvl w:val="2"/>
      </w:pPr>
      <w:r>
        <w:t>7.1. Общесистемные требования к реализации программы магистратуры.</w:t>
      </w:r>
    </w:p>
    <w:p w:rsidR="00E33863" w:rsidRDefault="00E33863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программам,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33863" w:rsidRDefault="00E33863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33863" w:rsidRDefault="00E33863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</w:t>
      </w:r>
      <w:r>
        <w:lastRenderedPageBreak/>
        <w:t>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6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цитирования.</w:t>
      </w:r>
      <w:proofErr w:type="gramEnd"/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E33863" w:rsidRDefault="00E338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Title"/>
        <w:ind w:firstLine="540"/>
        <w:jc w:val="both"/>
        <w:outlineLvl w:val="2"/>
      </w:pPr>
      <w:r>
        <w:t>7.2. Требования к кадровым условиям реализации программы магистратуры.</w:t>
      </w:r>
    </w:p>
    <w:p w:rsidR="00E33863" w:rsidRDefault="00E33863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 xml:space="preserve">Доля научно-педагогических работников (в приведенных к целочисленным значениям </w:t>
      </w:r>
      <w:r>
        <w:lastRenderedPageBreak/>
        <w:t>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E33863" w:rsidRDefault="00E33863">
      <w:pPr>
        <w:pStyle w:val="ConsPlusNormal"/>
        <w:spacing w:before="220"/>
        <w:ind w:firstLine="540"/>
        <w:jc w:val="both"/>
      </w:pPr>
      <w:r>
        <w:t>90 процентов для программы академической магистратуры;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75 процентов для программы прикладной магистратуры.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E33863" w:rsidRDefault="00E33863">
      <w:pPr>
        <w:pStyle w:val="ConsPlusNormal"/>
        <w:spacing w:before="220"/>
        <w:ind w:firstLine="540"/>
        <w:jc w:val="both"/>
      </w:pPr>
      <w:r>
        <w:t>5 процентов для программы академической магистратуры;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5 процентов для программы прикладной магистратуры.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Title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E33863" w:rsidRDefault="00E33863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33863" w:rsidRDefault="00E33863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Title"/>
        <w:ind w:firstLine="540"/>
        <w:jc w:val="both"/>
        <w:outlineLvl w:val="2"/>
      </w:pPr>
      <w:r>
        <w:t>7.4. Требования к финансовым условиям реализации программ магистратуры.</w:t>
      </w:r>
    </w:p>
    <w:p w:rsidR="00E33863" w:rsidRDefault="00E33863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jc w:val="both"/>
      </w:pPr>
    </w:p>
    <w:p w:rsidR="00E33863" w:rsidRDefault="00E33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72E" w:rsidRDefault="00B3172E"/>
    <w:sectPr w:rsidR="00B3172E" w:rsidSect="002223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63"/>
    <w:rsid w:val="0013221E"/>
    <w:rsid w:val="00B3172E"/>
    <w:rsid w:val="00E3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76783B55CE67D31F051639A81211417F768E252F0D317B5C08494620842E861EFB9326998CCFAxA07D" TargetMode="External"/><Relationship Id="rId13" Type="http://schemas.openxmlformats.org/officeDocument/2006/relationships/hyperlink" Target="consultantplus://offline/ref=2CE7D595020D7A530D868414896448AF9057762AD12ACFBE1C75626504F8000A0BEB7D458D934708y307D" TargetMode="External"/><Relationship Id="rId18" Type="http://schemas.openxmlformats.org/officeDocument/2006/relationships/hyperlink" Target="consultantplus://offline/ref=2CE7D595020D7A530D868414896448AF93507629D229CFBE1C75626504F8000A0BEB7D458D93430Cy30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876783B55CE67D31F051639A81211417F760E15BF0D317B5C08494620842E861EFB9326998CCF8xA04D" TargetMode="External"/><Relationship Id="rId12" Type="http://schemas.openxmlformats.org/officeDocument/2006/relationships/hyperlink" Target="consultantplus://offline/ref=0C876783B55CE67D31F051639A81211417F760E15BF0D317B5C08494620842E861EFB9326998CCFCxA04D" TargetMode="External"/><Relationship Id="rId17" Type="http://schemas.openxmlformats.org/officeDocument/2006/relationships/hyperlink" Target="consultantplus://offline/ref=2CE7D595020D7A530D868414896448AF9350742DD421CFBE1C75626504F8000A0BEB7D458D93430Cy30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E7D595020D7A530D868414896448AF9354762CD32FCFBE1C75626504F8000A0BEB7D458D93430Cy307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76783B55CE67D31F051639A81211417F46AE350F7D317B5C08494620842E861EFB9326998C8FAxA0CD" TargetMode="External"/><Relationship Id="rId11" Type="http://schemas.openxmlformats.org/officeDocument/2006/relationships/hyperlink" Target="consultantplus://offline/ref=0C876783B55CE67D31F051639A81211417F46AE350F7D317B5C08494620842E861EFB9326998C8FAxA0C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E7D595020D7A530D868414896448AF9057752CD62DCFBE1C75626504yF08D" TargetMode="External"/><Relationship Id="rId10" Type="http://schemas.openxmlformats.org/officeDocument/2006/relationships/hyperlink" Target="consultantplus://offline/ref=0C876783B55CE67D31F051639A81211414F16CE655F0D317B5C08494620842E861EFB9326999CEFAxA06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876783B55CE67D31F051639A81211414F76EE355FDD317B5C0849462x008D" TargetMode="External"/><Relationship Id="rId14" Type="http://schemas.openxmlformats.org/officeDocument/2006/relationships/hyperlink" Target="consultantplus://offline/ref=2CE7D595020D7A530D868414896448AF9057752ED228CFBE1C75626504yF0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5245</Words>
  <Characters>29901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Степук Оксана Сергеевна</dc:creator>
  <cp:lastModifiedBy>Степук Оксана Сергеевна</cp:lastModifiedBy>
  <cp:revision>2</cp:revision>
  <dcterms:created xsi:type="dcterms:W3CDTF">2017-11-17T03:52:00Z</dcterms:created>
  <dcterms:modified xsi:type="dcterms:W3CDTF">2017-11-17T04:25:00Z</dcterms:modified>
</cp:coreProperties>
</file>