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9" w:rsidRDefault="006A7C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7C69" w:rsidRDefault="006A7C69">
      <w:pPr>
        <w:pStyle w:val="ConsPlusNormal"/>
        <w:jc w:val="both"/>
        <w:outlineLvl w:val="0"/>
      </w:pPr>
    </w:p>
    <w:p w:rsidR="006A7C69" w:rsidRDefault="006A7C69">
      <w:pPr>
        <w:pStyle w:val="ConsPlusNormal"/>
        <w:outlineLvl w:val="0"/>
      </w:pPr>
      <w:r>
        <w:t>Зарегистрировано в Минюсте России 20 апреля 2016 г. N 41872</w:t>
      </w:r>
    </w:p>
    <w:p w:rsidR="006A7C69" w:rsidRDefault="006A7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A7C69" w:rsidRDefault="006A7C69">
      <w:pPr>
        <w:pStyle w:val="ConsPlusTitle"/>
        <w:jc w:val="center"/>
      </w:pPr>
    </w:p>
    <w:p w:rsidR="006A7C69" w:rsidRDefault="006A7C69">
      <w:pPr>
        <w:pStyle w:val="ConsPlusTitle"/>
        <w:jc w:val="center"/>
      </w:pPr>
      <w:r>
        <w:t>ПРИКАЗ</w:t>
      </w:r>
    </w:p>
    <w:p w:rsidR="006A7C69" w:rsidRDefault="006A7C69">
      <w:pPr>
        <w:pStyle w:val="ConsPlusTitle"/>
        <w:jc w:val="center"/>
      </w:pPr>
      <w:r>
        <w:t>от 21 марта 2016 г. N 246</w:t>
      </w:r>
    </w:p>
    <w:p w:rsidR="006A7C69" w:rsidRDefault="006A7C69">
      <w:pPr>
        <w:pStyle w:val="ConsPlusTitle"/>
        <w:jc w:val="center"/>
      </w:pPr>
    </w:p>
    <w:p w:rsidR="006A7C69" w:rsidRDefault="006A7C69">
      <w:pPr>
        <w:pStyle w:val="ConsPlusTitle"/>
        <w:jc w:val="center"/>
      </w:pPr>
      <w:r>
        <w:t>ОБ УТВЕРЖДЕНИИ</w:t>
      </w:r>
    </w:p>
    <w:p w:rsidR="006A7C69" w:rsidRDefault="006A7C6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A7C69" w:rsidRDefault="006A7C69">
      <w:pPr>
        <w:pStyle w:val="ConsPlusTitle"/>
        <w:jc w:val="center"/>
      </w:pPr>
      <w:r>
        <w:t>ВЫСШЕГО ОБРАЗОВАНИЯ ПО НАПРАВЛЕНИЮ ПОДГОТОВКИ 20.03.01</w:t>
      </w:r>
    </w:p>
    <w:p w:rsidR="006A7C69" w:rsidRDefault="006A7C69">
      <w:pPr>
        <w:pStyle w:val="ConsPlusTitle"/>
        <w:jc w:val="center"/>
      </w:pPr>
      <w:r>
        <w:t>ТЕХНОСФЕРНАЯ БЕЗОПАСНОСТЬ (УРОВЕНЬ БАКАЛАВРИАТА)</w:t>
      </w:r>
    </w:p>
    <w:p w:rsidR="006A7C69" w:rsidRDefault="006A7C69">
      <w:pPr>
        <w:pStyle w:val="ConsPlusNormal"/>
        <w:jc w:val="center"/>
      </w:pPr>
      <w:r>
        <w:t>Список изменяющих документов</w:t>
      </w:r>
    </w:p>
    <w:p w:rsidR="006A7C69" w:rsidRDefault="006A7C6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6A7C69" w:rsidRDefault="006A7C69">
      <w:pPr>
        <w:pStyle w:val="ConsPlusNormal"/>
        <w:jc w:val="center"/>
      </w:pPr>
    </w:p>
    <w:p w:rsidR="006A7C69" w:rsidRDefault="006A7C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7C69" w:rsidRDefault="006A7C6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декабря 2009 г. N 723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</w:t>
      </w:r>
      <w:proofErr w:type="spellStart"/>
      <w:r>
        <w:t>Техносферная</w:t>
      </w:r>
      <w:proofErr w:type="spellEnd"/>
      <w:r>
        <w:t xml:space="preserve"> безопасность (квалификация (степень) "бакалавр")" (зарегистрирован Министерством юстиции Российской Федерации 8 февраля 2010 г., регистрационный N 16314);</w:t>
      </w:r>
    </w:p>
    <w:p w:rsidR="006A7C69" w:rsidRDefault="006A7C6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6A7C69" w:rsidRDefault="006A7C6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162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2016 года.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right"/>
      </w:pPr>
      <w:r>
        <w:t>Министр</w:t>
      </w:r>
    </w:p>
    <w:p w:rsidR="006A7C69" w:rsidRDefault="006A7C69">
      <w:pPr>
        <w:pStyle w:val="ConsPlusNormal"/>
        <w:jc w:val="right"/>
      </w:pPr>
      <w:r>
        <w:t>Д.В.ЛИВАНОВ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right"/>
        <w:outlineLvl w:val="0"/>
      </w:pPr>
      <w:r>
        <w:t>Приложение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right"/>
      </w:pPr>
      <w:r>
        <w:t>Утвержден</w:t>
      </w:r>
    </w:p>
    <w:p w:rsidR="006A7C69" w:rsidRDefault="006A7C69">
      <w:pPr>
        <w:pStyle w:val="ConsPlusNormal"/>
        <w:jc w:val="right"/>
      </w:pPr>
      <w:r>
        <w:t>приказом Министерства образования</w:t>
      </w:r>
    </w:p>
    <w:p w:rsidR="006A7C69" w:rsidRDefault="006A7C69">
      <w:pPr>
        <w:pStyle w:val="ConsPlusNormal"/>
        <w:jc w:val="right"/>
      </w:pPr>
      <w:r>
        <w:t>и науки Российской Федерации</w:t>
      </w:r>
    </w:p>
    <w:p w:rsidR="006A7C69" w:rsidRDefault="006A7C69">
      <w:pPr>
        <w:pStyle w:val="ConsPlusNormal"/>
        <w:jc w:val="right"/>
      </w:pPr>
      <w:r>
        <w:t>от 21 марта 2016 г. N 246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6A7C69" w:rsidRDefault="006A7C69">
      <w:pPr>
        <w:pStyle w:val="ConsPlusTitle"/>
        <w:jc w:val="center"/>
      </w:pPr>
      <w:r>
        <w:t>ВЫСШЕГО ОБРАЗОВАНИЯ</w:t>
      </w:r>
    </w:p>
    <w:p w:rsidR="006A7C69" w:rsidRDefault="006A7C69">
      <w:pPr>
        <w:pStyle w:val="ConsPlusTitle"/>
        <w:jc w:val="center"/>
      </w:pPr>
    </w:p>
    <w:p w:rsidR="006A7C69" w:rsidRDefault="006A7C69">
      <w:pPr>
        <w:pStyle w:val="ConsPlusTitle"/>
        <w:jc w:val="center"/>
      </w:pPr>
      <w:r>
        <w:t>УРОВЕНЬ ВЫСШЕГО ОБРАЗОВАНИЯ</w:t>
      </w:r>
    </w:p>
    <w:p w:rsidR="006A7C69" w:rsidRDefault="006A7C69">
      <w:pPr>
        <w:pStyle w:val="ConsPlusTitle"/>
        <w:jc w:val="center"/>
      </w:pPr>
      <w:r>
        <w:t>БАКАЛАВРИАТ</w:t>
      </w:r>
    </w:p>
    <w:p w:rsidR="006A7C69" w:rsidRDefault="006A7C69">
      <w:pPr>
        <w:pStyle w:val="ConsPlusTitle"/>
        <w:jc w:val="center"/>
      </w:pPr>
    </w:p>
    <w:p w:rsidR="006A7C69" w:rsidRDefault="006A7C69">
      <w:pPr>
        <w:pStyle w:val="ConsPlusTitle"/>
        <w:jc w:val="center"/>
      </w:pPr>
      <w:r>
        <w:t>НАПРАВЛЕНИЕ ПОДГОТОВКИ</w:t>
      </w:r>
    </w:p>
    <w:p w:rsidR="006A7C69" w:rsidRDefault="006A7C69">
      <w:pPr>
        <w:pStyle w:val="ConsPlusTitle"/>
        <w:jc w:val="center"/>
      </w:pPr>
      <w:r>
        <w:t>20.03.01 ТЕХНОСФЕРНАЯ БЕЗОПАСНОСТЬ</w:t>
      </w:r>
    </w:p>
    <w:p w:rsidR="006A7C69" w:rsidRDefault="006A7C69">
      <w:pPr>
        <w:pStyle w:val="ConsPlusNormal"/>
        <w:jc w:val="center"/>
      </w:pPr>
      <w:r>
        <w:t>Список изменяющих документов</w:t>
      </w:r>
    </w:p>
    <w:p w:rsidR="006A7C69" w:rsidRDefault="006A7C6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I. ОБЛАСТЬ ПРИМЕНЕНИЯ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II. ИСПОЛЬЗУЕМЫЕ СОКРАЩЕНИЯ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организациях осуществляется в очной, очно-</w:t>
      </w:r>
      <w:r>
        <w:lastRenderedPageBreak/>
        <w:t>заочной и заочной формах обучения.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 w:rsidRPr="00AD1650">
        <w:rPr>
          <w:highlight w:val="red"/>
        </w:rPr>
        <w:t>в очно-заочной и заочной формах обучения</w:t>
      </w:r>
      <w:r>
        <w:t xml:space="preserve">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очно-заочной 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6A7C69" w:rsidRDefault="006A7C6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</w:t>
      </w:r>
      <w:r w:rsidRPr="00AD1650">
        <w:rPr>
          <w:highlight w:val="red"/>
        </w:rPr>
        <w:t>, в очно-заочной и заочной формах обучения</w:t>
      </w:r>
      <w:r>
        <w:t>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A7C69" w:rsidRDefault="006A7C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бакалавриата</w:t>
      </w:r>
      <w:proofErr w:type="spellEnd"/>
      <w:r>
        <w:t xml:space="preserve"> возможна с использованием сетевой формы.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бакалавриата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6A7C69" w:rsidRDefault="006A7C69">
      <w:pPr>
        <w:pStyle w:val="ConsPlusTitle"/>
        <w:jc w:val="center"/>
      </w:pPr>
      <w:r>
        <w:t>ВЫПУСКНИКОВ, ОСВОИВШИХ ПРОГРАММУ БАКАЛАВРИАТА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программы </w:t>
      </w:r>
      <w:proofErr w:type="spellStart"/>
      <w:r>
        <w:t>бакалавриата</w:t>
      </w:r>
      <w:proofErr w:type="spellEnd"/>
      <w:r>
        <w:t xml:space="preserve">,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>
        <w:t>техносферы</w:t>
      </w:r>
      <w:proofErr w:type="spellEnd"/>
      <w:r>
        <w:t>, минимизацию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 xml:space="preserve">4.2. Объектами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являются: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человек и опасности, связанные с человеческой деятельностью;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опасности среды обитания, связанные с деятельностью человека;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опасности среды обитания, связанные с опасными природными явлениями;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опасные технологические процессы и производства;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нормативные правовые акты по вопросам обеспечения безопасности;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методы и средства оценки техногенных и природных опасностей и риска их реализации;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методы и средства защиты человека и среды обитания от техногенных и природных опасностей;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правила нормирования опасностей и антропогенного воздействия на окружающую природную среду;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методы, средства спасения человека.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бакалавриата</w:t>
      </w:r>
      <w:proofErr w:type="spellEnd"/>
      <w:r>
        <w:t>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spellStart"/>
      <w:r>
        <w:t>сервисно</w:t>
      </w:r>
      <w:proofErr w:type="spellEnd"/>
      <w:r>
        <w:t>-эксплуатационная;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экспертная, надзорная и инспекционно-аудиторская;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Программа </w:t>
      </w:r>
      <w:proofErr w:type="spellStart"/>
      <w:r>
        <w:t>бакалавриата</w:t>
      </w:r>
      <w:proofErr w:type="spellEnd"/>
      <w: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воздействий, разработке разделов проектов, связанных с вопросами обеспечения безопасности человека и защиты окружающей среды, самостоятельная разработка отдельных проектных вопросов среднего уровня сложности;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r>
        <w:t>идентификация источников опасностей в окружающей среде, рабочей зоне, на производственном предприятии, определение уровней опасностей;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определение зон повышенного техногенного риска;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подготовка проектно-конструкторской документации разрабатываемых изделий и устрой</w:t>
      </w:r>
      <w:proofErr w:type="gramStart"/>
      <w:r>
        <w:t>ств с пр</w:t>
      </w:r>
      <w:proofErr w:type="gramEnd"/>
      <w:r>
        <w:t>именением систем автоматического проектирования (САПР);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разработке требований безопасности при подготовке обоснований инвестиций и проектов;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разработке сре</w:t>
      </w:r>
      <w:proofErr w:type="gramStart"/>
      <w:r>
        <w:t>дств сп</w:t>
      </w:r>
      <w:proofErr w:type="gramEnd"/>
      <w:r>
        <w:t>асения и организационно-технических мероприятий по защите территорий от природных и техногенных чрезвычайных ситуаций;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spellStart"/>
      <w:r>
        <w:t>сервисно</w:t>
      </w:r>
      <w:proofErr w:type="spellEnd"/>
      <w:r>
        <w:t>-эксплуатационная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эксплуатация средств защиты человека и среды его обитания от природных и техногенных опасностей;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контроля состояния средств защиты человека</w:t>
      </w:r>
      <w:proofErr w:type="gramEnd"/>
      <w:r>
        <w:t xml:space="preserve"> и среды его обитания от природных и техногенных опасностей;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эксплуатация средств контроля безопасности;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выбор известных методов (систем) защиты человека и среды обитания, ликвидации чрезвычайных ситуаций применительно к конкретным условиям;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составление инструкций безопасности;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ремонт и обслуживание средств защиты от опасностей;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выбор и эксплуатация средств контроля безопасности;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выполнение работ по одной или нескольким профессиям рабочих, должностям служащих;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 w:rsidRPr="00AD1650">
        <w:rPr>
          <w:highlight w:val="red"/>
        </w:rPr>
        <w:t xml:space="preserve">абзац утратил силу. - </w:t>
      </w:r>
      <w:hyperlink r:id="rId15" w:history="1">
        <w:r w:rsidRPr="00AD1650">
          <w:rPr>
            <w:color w:val="0000FF"/>
            <w:highlight w:val="red"/>
          </w:rPr>
          <w:t>Приказ</w:t>
        </w:r>
      </w:hyperlink>
      <w:r w:rsidRPr="00AD1650">
        <w:rPr>
          <w:highlight w:val="red"/>
        </w:rPr>
        <w:t xml:space="preserve"> </w:t>
      </w:r>
      <w:proofErr w:type="spellStart"/>
      <w:r w:rsidRPr="00AD1650">
        <w:rPr>
          <w:highlight w:val="red"/>
        </w:rPr>
        <w:t>Минобрнауки</w:t>
      </w:r>
      <w:proofErr w:type="spellEnd"/>
      <w:r w:rsidRPr="00AD1650">
        <w:rPr>
          <w:highlight w:val="red"/>
        </w:rPr>
        <w:t xml:space="preserve"> России от 13.07.2017 N 653;</w:t>
      </w:r>
      <w:bookmarkStart w:id="1" w:name="_GoBack"/>
      <w:bookmarkEnd w:id="1"/>
    </w:p>
    <w:p w:rsidR="006A7C69" w:rsidRDefault="006A7C69">
      <w:pPr>
        <w:pStyle w:val="ConsPlusNormal"/>
        <w:spacing w:before="220"/>
        <w:ind w:firstLine="540"/>
        <w:jc w:val="both"/>
      </w:pPr>
      <w:r>
        <w:t>организация и участие в деятельности по защите человека и окружающей среды на уровне производственного предприятия, а также деятельности предприятий в чрезвычайных ситуациях;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разработке нормативных правовых актов по вопросам обеспечения безопасности на уровне производственного предприятия;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организационно-технических мероприятиях по защите территорий от природных и техногенных чрезвычайных ситуаций;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осуществление государственных мер в области обеспечения безопасности;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обучение рабочих и служащих требованиям безопасности;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>экспертная, надзорная и инспекционно-аудиторская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выполнение мониторинга полей и источников опасностей в среде обитания;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проведении экспертизы безопасности, экологической экспертизы;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определение зон повышенного техногенного риска.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выполнении научных исследований в области безопасности под руководством и в составе коллектива, выполнение экспериментов и обработка их результатов;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комплексный анализ опасностей </w:t>
      </w:r>
      <w:proofErr w:type="spellStart"/>
      <w:r>
        <w:t>техносферы</w:t>
      </w:r>
      <w:proofErr w:type="spellEnd"/>
      <w:r>
        <w:t>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участие в исследованиях воздействия антропогенных факторов и стихийных явлений на промышленные объекты;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подготовка и оформление отчетов по научно-исследовательским работам.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V. ТРЕБОВАНИЯ К РЕЗУЛЬТАТАМ ОСВОЕНИЯ ПРОГРАММЫ БАКАЛАВРИАТА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общекультурными компетенциями: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владением компетенциями ценностно-смысловой ориентации (понимание ценности культуры, науки, производства, рационального потребления) (ОК-2);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владением компетенциями гражданственности (знание и соблюдение прав и обязанностей гражданина, свободы и ответственности) (ОК-3);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владением компетенциями самосовершенствования (сознание необходимости, потребность и способность обучаться) (ОК-4);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>
        <w:t>коммуникативностью</w:t>
      </w:r>
      <w:proofErr w:type="spellEnd"/>
      <w:r>
        <w:t>, толерантностью (ОК-5);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владением культурой безопасности и </w:t>
      </w:r>
      <w:proofErr w:type="spellStart"/>
      <w:r>
        <w:t>рискориентированным</w:t>
      </w:r>
      <w:proofErr w:type="spellEnd"/>
      <w: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работать самостоятельно (ОК-8);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принимать решения в пределах своих полномочий (ОК-9);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к познавательной деятельности (ОК-10);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>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 (ОК-11);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владением письменной и устной речью на русском языке, способностью использовать профессионально-ориентированную риторику, владением методами создания понятных текстов, способностью осуществлять социальное взаимодействие на одном из иностранных языков (ОК-13);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общепрофессиональными компетенциями: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способностью учитывать современные тенденции развития техники и технологий в области обеспечения </w:t>
      </w:r>
      <w:proofErr w:type="spellStart"/>
      <w:r>
        <w:t>техносферной</w:t>
      </w:r>
      <w:proofErr w:type="spellEnd"/>
      <w:r>
        <w:t xml:space="preserve"> безопасности, измерительной и вычислительной техники, информационных технологий в своей профессиональной деятельности (ОПК-1);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профессиональной деятельности (ОПК-2);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ориентироваться в основных нормативно-правовых актах в области обеспечения безопасности (ОПК-3);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пропагандировать цели и задачи обеспечения безопасности человека и окружающей среды (ОПК-4);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готовностью к выполнению профессиональных функций при работе в коллективе (ОПК-5).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принимать участие в инженерных разработках среднего уровня сложности в составе коллектива (ПК-1);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разрабатывать и использовать графическую документацию (ПК-2);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оценивать риск и определять меры по обеспечению безопасности разрабатываемой техники (ПК-3);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spellStart"/>
      <w:r>
        <w:t>сервисно</w:t>
      </w:r>
      <w:proofErr w:type="spellEnd"/>
      <w:r>
        <w:t>-эксплуатационная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 xml:space="preserve">способностью ориентироваться в основных методах и системах обеспечения </w:t>
      </w:r>
      <w:proofErr w:type="spellStart"/>
      <w:r>
        <w:t>техносферной</w:t>
      </w:r>
      <w:proofErr w:type="spellEnd"/>
      <w:r>
        <w:t xml:space="preserve">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принимать участие в установке (монтаже), эксплуатации средств защиты (ПК-6);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выполнять работы по одной или нескольким профессиям рабочих, должностям служащих (ПК-8);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применять действующие нормативные правовые акты для решения задач обеспечения безопасности объектов защиты (ПК-12);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экспертная, надзорная и инспекционно-аудиторская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определять нормативные уровни допустимых негативных воздействий на человека и окружающую среду (ПК-14);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определять опасные, чрезвычайно опасные зоны, зоны приемлемого риска (ПК-17);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способностью ориентироваться в основных проблемах </w:t>
      </w:r>
      <w:proofErr w:type="spellStart"/>
      <w:r>
        <w:t>техносферной</w:t>
      </w:r>
      <w:proofErr w:type="spellEnd"/>
      <w:r>
        <w:t xml:space="preserve"> безопасности (ПК-19);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решать задачи профессиональной деятельности в составе научно-</w:t>
      </w:r>
      <w:r>
        <w:lastRenderedPageBreak/>
        <w:t>исследовательского коллектива (ПК-21);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способностью применять на практике навыки проведения и описания исследований, в том числе экспериментальных (ПК-23).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5.5. При разработке программы </w:t>
      </w:r>
      <w:proofErr w:type="spellStart"/>
      <w:r>
        <w:t>бакалавриата</w:t>
      </w:r>
      <w:proofErr w:type="spellEnd"/>
      <w: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включаются в набор требуемых результатов освоения программы </w:t>
      </w:r>
      <w:proofErr w:type="spellStart"/>
      <w:r>
        <w:t>бакалавриата</w:t>
      </w:r>
      <w:proofErr w:type="spellEnd"/>
      <w:r>
        <w:t>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5.6.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бакалавриата</w:t>
      </w:r>
      <w:proofErr w:type="spellEnd"/>
      <w:r>
        <w:t xml:space="preserve"> на конкретные области знания и (или) вид (виды) деятельности.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бакалавриата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VI. ТРЕБОВАНИЯ К СТРУКТУРЕ ПРОГРАММЫ БАКАЛАВРИАТА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бакалавриата</w:t>
      </w:r>
      <w:proofErr w:type="spellEnd"/>
      <w: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6A7C69" w:rsidRDefault="006A7C69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A7C69" w:rsidRDefault="006A7C69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6A7C69" w:rsidRDefault="006A7C69">
      <w:pPr>
        <w:pStyle w:val="ConsPlusNormal"/>
        <w:spacing w:before="220"/>
        <w:ind w:firstLine="540"/>
        <w:jc w:val="both"/>
      </w:pPr>
      <w:hyperlink w:anchor="P22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6A7C69" w:rsidRDefault="006A7C69">
      <w:pPr>
        <w:pStyle w:val="ConsPlusNormal"/>
        <w:jc w:val="both"/>
      </w:pPr>
    </w:p>
    <w:p w:rsidR="006A7C69" w:rsidRDefault="006A7C69">
      <w:pPr>
        <w:sectPr w:rsidR="006A7C69" w:rsidSect="00A16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C69" w:rsidRDefault="006A7C69">
      <w:pPr>
        <w:pStyle w:val="ConsPlusTitle"/>
        <w:jc w:val="center"/>
        <w:outlineLvl w:val="2"/>
      </w:pPr>
      <w:r>
        <w:lastRenderedPageBreak/>
        <w:t xml:space="preserve">Структура программы </w:t>
      </w:r>
      <w:proofErr w:type="spellStart"/>
      <w:r>
        <w:t>бакалавриата</w:t>
      </w:r>
      <w:proofErr w:type="spellEnd"/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right"/>
      </w:pPr>
      <w:r>
        <w:t>Таблица</w:t>
      </w:r>
    </w:p>
    <w:p w:rsidR="006A7C69" w:rsidRDefault="006A7C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438"/>
        <w:gridCol w:w="1898"/>
        <w:gridCol w:w="2182"/>
      </w:tblGrid>
      <w:tr w:rsidR="006A7C69">
        <w:tc>
          <w:tcPr>
            <w:tcW w:w="5580" w:type="dxa"/>
            <w:gridSpan w:val="2"/>
            <w:vMerge w:val="restart"/>
          </w:tcPr>
          <w:p w:rsidR="006A7C69" w:rsidRDefault="006A7C69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4080" w:type="dxa"/>
            <w:gridSpan w:val="2"/>
          </w:tcPr>
          <w:p w:rsidR="006A7C69" w:rsidRDefault="006A7C69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A7C69">
        <w:tc>
          <w:tcPr>
            <w:tcW w:w="5580" w:type="dxa"/>
            <w:gridSpan w:val="2"/>
            <w:vMerge/>
          </w:tcPr>
          <w:p w:rsidR="006A7C69" w:rsidRDefault="006A7C69"/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</w:tr>
      <w:tr w:rsidR="006A7C69">
        <w:tc>
          <w:tcPr>
            <w:tcW w:w="1142" w:type="dxa"/>
            <w:vMerge w:val="restart"/>
          </w:tcPr>
          <w:p w:rsidR="006A7C69" w:rsidRDefault="006A7C69">
            <w:pPr>
              <w:pStyle w:val="ConsPlusNormal"/>
            </w:pPr>
            <w:bookmarkStart w:id="2" w:name="P212"/>
            <w:bookmarkEnd w:id="2"/>
            <w:r>
              <w:t>Блок 1</w:t>
            </w:r>
          </w:p>
        </w:tc>
        <w:tc>
          <w:tcPr>
            <w:tcW w:w="4438" w:type="dxa"/>
          </w:tcPr>
          <w:p w:rsidR="006A7C69" w:rsidRDefault="006A7C6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189 - 201</w:t>
            </w:r>
          </w:p>
        </w:tc>
      </w:tr>
      <w:tr w:rsidR="006A7C69">
        <w:tc>
          <w:tcPr>
            <w:tcW w:w="1142" w:type="dxa"/>
            <w:vMerge/>
          </w:tcPr>
          <w:p w:rsidR="006A7C69" w:rsidRDefault="006A7C69"/>
        </w:tc>
        <w:tc>
          <w:tcPr>
            <w:tcW w:w="4438" w:type="dxa"/>
          </w:tcPr>
          <w:p w:rsidR="006A7C69" w:rsidRDefault="006A7C69">
            <w:pPr>
              <w:pStyle w:val="ConsPlusNormal"/>
            </w:pPr>
            <w:bookmarkStart w:id="3" w:name="P216"/>
            <w:bookmarkEnd w:id="3"/>
            <w:r>
              <w:t>Базовая часть</w:t>
            </w:r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96 - 120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84 - 111</w:t>
            </w:r>
          </w:p>
        </w:tc>
      </w:tr>
      <w:tr w:rsidR="006A7C69">
        <w:tc>
          <w:tcPr>
            <w:tcW w:w="1142" w:type="dxa"/>
            <w:vMerge/>
          </w:tcPr>
          <w:p w:rsidR="006A7C69" w:rsidRDefault="006A7C69"/>
        </w:tc>
        <w:tc>
          <w:tcPr>
            <w:tcW w:w="4438" w:type="dxa"/>
          </w:tcPr>
          <w:p w:rsidR="006A7C69" w:rsidRDefault="006A7C69">
            <w:pPr>
              <w:pStyle w:val="ConsPlusNormal"/>
            </w:pPr>
            <w:bookmarkStart w:id="4" w:name="P219"/>
            <w:bookmarkEnd w:id="4"/>
            <w:r>
              <w:t>Вариативная часть</w:t>
            </w:r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96 - 117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90 - 105</w:t>
            </w:r>
          </w:p>
        </w:tc>
      </w:tr>
      <w:tr w:rsidR="006A7C69">
        <w:tc>
          <w:tcPr>
            <w:tcW w:w="1142" w:type="dxa"/>
            <w:vMerge w:val="restart"/>
          </w:tcPr>
          <w:p w:rsidR="006A7C69" w:rsidRDefault="006A7C69">
            <w:pPr>
              <w:pStyle w:val="ConsPlusNormal"/>
            </w:pPr>
            <w:bookmarkStart w:id="5" w:name="P222"/>
            <w:bookmarkEnd w:id="5"/>
            <w:r>
              <w:t>Блок 2</w:t>
            </w:r>
          </w:p>
        </w:tc>
        <w:tc>
          <w:tcPr>
            <w:tcW w:w="4438" w:type="dxa"/>
          </w:tcPr>
          <w:p w:rsidR="006A7C69" w:rsidRDefault="006A7C69">
            <w:pPr>
              <w:pStyle w:val="ConsPlusNormal"/>
            </w:pPr>
            <w:r>
              <w:t>Практики</w:t>
            </w:r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33 - 45</w:t>
            </w:r>
          </w:p>
        </w:tc>
      </w:tr>
      <w:tr w:rsidR="006A7C69">
        <w:tc>
          <w:tcPr>
            <w:tcW w:w="1142" w:type="dxa"/>
            <w:vMerge/>
          </w:tcPr>
          <w:p w:rsidR="006A7C69" w:rsidRDefault="006A7C69"/>
        </w:tc>
        <w:tc>
          <w:tcPr>
            <w:tcW w:w="4438" w:type="dxa"/>
          </w:tcPr>
          <w:p w:rsidR="006A7C69" w:rsidRDefault="006A7C6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33 - 45</w:t>
            </w:r>
          </w:p>
        </w:tc>
      </w:tr>
      <w:tr w:rsidR="006A7C69">
        <w:tc>
          <w:tcPr>
            <w:tcW w:w="1142" w:type="dxa"/>
            <w:vMerge w:val="restart"/>
          </w:tcPr>
          <w:p w:rsidR="006A7C69" w:rsidRDefault="006A7C69">
            <w:pPr>
              <w:pStyle w:val="ConsPlusNormal"/>
            </w:pPr>
            <w:bookmarkStart w:id="6" w:name="P229"/>
            <w:bookmarkEnd w:id="6"/>
            <w:r>
              <w:t>Блок 3</w:t>
            </w:r>
          </w:p>
        </w:tc>
        <w:tc>
          <w:tcPr>
            <w:tcW w:w="4438" w:type="dxa"/>
          </w:tcPr>
          <w:p w:rsidR="006A7C69" w:rsidRDefault="006A7C6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6 - 9</w:t>
            </w:r>
          </w:p>
        </w:tc>
      </w:tr>
      <w:tr w:rsidR="006A7C69">
        <w:tc>
          <w:tcPr>
            <w:tcW w:w="1142" w:type="dxa"/>
            <w:vMerge/>
          </w:tcPr>
          <w:p w:rsidR="006A7C69" w:rsidRDefault="006A7C69"/>
        </w:tc>
        <w:tc>
          <w:tcPr>
            <w:tcW w:w="4438" w:type="dxa"/>
            <w:vAlign w:val="bottom"/>
          </w:tcPr>
          <w:p w:rsidR="006A7C69" w:rsidRDefault="006A7C69">
            <w:pPr>
              <w:pStyle w:val="ConsPlusNormal"/>
            </w:pPr>
            <w:r>
              <w:t>Базовая часть</w:t>
            </w:r>
          </w:p>
        </w:tc>
        <w:tc>
          <w:tcPr>
            <w:tcW w:w="1898" w:type="dxa"/>
            <w:vAlign w:val="bottom"/>
          </w:tcPr>
          <w:p w:rsidR="006A7C69" w:rsidRDefault="006A7C6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82" w:type="dxa"/>
            <w:vAlign w:val="bottom"/>
          </w:tcPr>
          <w:p w:rsidR="006A7C69" w:rsidRDefault="006A7C69">
            <w:pPr>
              <w:pStyle w:val="ConsPlusNormal"/>
              <w:jc w:val="center"/>
            </w:pPr>
            <w:r>
              <w:t>6 - 9</w:t>
            </w:r>
          </w:p>
        </w:tc>
      </w:tr>
      <w:tr w:rsidR="006A7C69">
        <w:tc>
          <w:tcPr>
            <w:tcW w:w="5580" w:type="dxa"/>
            <w:gridSpan w:val="2"/>
          </w:tcPr>
          <w:p w:rsidR="006A7C69" w:rsidRDefault="006A7C69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898" w:type="dxa"/>
          </w:tcPr>
          <w:p w:rsidR="006A7C69" w:rsidRDefault="006A7C6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82" w:type="dxa"/>
          </w:tcPr>
          <w:p w:rsidR="006A7C69" w:rsidRDefault="006A7C69">
            <w:pPr>
              <w:pStyle w:val="ConsPlusNormal"/>
              <w:jc w:val="center"/>
            </w:pPr>
            <w:r>
              <w:t>240</w:t>
            </w:r>
          </w:p>
        </w:tc>
      </w:tr>
    </w:tbl>
    <w:p w:rsidR="006A7C69" w:rsidRDefault="006A7C69">
      <w:pPr>
        <w:sectPr w:rsidR="006A7C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бакалавриата</w:t>
      </w:r>
      <w:proofErr w:type="spellEnd"/>
      <w: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t>бакалавриата</w:t>
      </w:r>
      <w:proofErr w:type="spellEnd"/>
      <w:r>
        <w:t>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бакалавриата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1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бакалавриата</w:t>
      </w:r>
      <w:proofErr w:type="spellEnd"/>
      <w:r>
        <w:t xml:space="preserve"> и практики, определяют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бакалавриата</w:t>
      </w:r>
      <w:proofErr w:type="spellEnd"/>
      <w:r>
        <w:t xml:space="preserve"> и практик,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2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стационарная;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выездная.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стационарная;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выездная.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бакалавриата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бакалавриата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2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6.9.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1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1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6A7C69" w:rsidRDefault="006A7C69">
      <w:pPr>
        <w:pStyle w:val="ConsPlusTitle"/>
        <w:jc w:val="center"/>
      </w:pPr>
      <w:r>
        <w:t>ПРОГРАММЫ БАКАЛАВРИАТА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6A7C69" w:rsidRDefault="006A7C6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N 23, ст. 2870; N 27, ст. 3479; N 52, ст. 6961, ст. 6963; 2014, N 19, ст. 2302; N 30, ст. 4223, ст. 4243; N 48, ст. 6645; 2015, N 1, ст. 84, N 27, ст. 3979, N 29, ст. 4389, ст. 4390),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 ст. 6439; 2010, N 27, ст. 3407; </w:t>
      </w:r>
      <w:proofErr w:type="gramStart"/>
      <w:r>
        <w:t>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бакалавриата</w:t>
      </w:r>
      <w:proofErr w:type="spellEnd"/>
      <w: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9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7.1.6. Доля штатных научно-педагогических работников (в приведенных к целочисленным </w:t>
      </w:r>
      <w:r>
        <w:lastRenderedPageBreak/>
        <w:t>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6A7C69" w:rsidRDefault="006A7C69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70 процентов.</w:t>
      </w:r>
      <w:proofErr w:type="gramEnd"/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10 процентов.</w:t>
      </w:r>
      <w:proofErr w:type="gramEnd"/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6A7C69" w:rsidRDefault="006A7C6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бакалавриата</w:t>
      </w:r>
      <w:proofErr w:type="spellEnd"/>
      <w: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A7C69" w:rsidRDefault="006A7C69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Title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6A7C69" w:rsidRDefault="006A7C6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jc w:val="both"/>
      </w:pPr>
    </w:p>
    <w:p w:rsidR="006A7C69" w:rsidRDefault="006A7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916A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9"/>
    <w:rsid w:val="006A7C69"/>
    <w:rsid w:val="00AD1650"/>
    <w:rsid w:val="00B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9AB20C33507294733002BD633CB333ACAAE8548C07C2F4B890B3C13B9C162792AC5EC3AC6B7ADNDt4D" TargetMode="External"/><Relationship Id="rId13" Type="http://schemas.openxmlformats.org/officeDocument/2006/relationships/hyperlink" Target="consultantplus://offline/ref=8819AB20C33507294733002BD633CB333AC9AC844AC77C2F4B890B3C13B9C162792AC5EC3AC6B7AFNDt1D" TargetMode="External"/><Relationship Id="rId18" Type="http://schemas.openxmlformats.org/officeDocument/2006/relationships/hyperlink" Target="consultantplus://offline/ref=8819AB20C33507294733002BD633CB333AC9AF824DC07C2F4B890B3C13NBt9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19AB20C33507294733002BD633CB333ACAA68641C07C2F4B890B3C13B9C162792AC5EC3AC6B7AFNDt7D" TargetMode="External"/><Relationship Id="rId12" Type="http://schemas.openxmlformats.org/officeDocument/2006/relationships/hyperlink" Target="consultantplus://offline/ref=8819AB20C33507294733002BD633CB333AC9AC844AC77C2F4B890B3C13B9C162792AC5EC3AC6B7AFNDt3D" TargetMode="External"/><Relationship Id="rId17" Type="http://schemas.openxmlformats.org/officeDocument/2006/relationships/hyperlink" Target="consultantplus://offline/ref=8819AB20C33507294733002BD633CB333AC9AF8049C57C2F4B890B3C13NBt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19AB20C33507294733002BD633CB333ACAA78548C07C2F4B890B3C13B9C162792AC5EC3AC4B4A0NDt6D" TargetMode="External"/><Relationship Id="rId20" Type="http://schemas.openxmlformats.org/officeDocument/2006/relationships/hyperlink" Target="consultantplus://offline/ref=8819AB20C33507294733002BD633CB3339C3A78F48C07C2F4B890B3C13B9C162792AC5EC3AC6B7A8NDt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9AB20C33507294733002BD633CB333AC9AC844AC77C2F4B890B3C13B9C162792AC5EC3AC6B7AFNDt3D" TargetMode="External"/><Relationship Id="rId11" Type="http://schemas.openxmlformats.org/officeDocument/2006/relationships/hyperlink" Target="consultantplus://offline/ref=8819AB20C33507294733002BD633CB3339C2AB864DCC7C2F4B890B3C13B9C162792AC5EC3AC6BEAANDt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19AB20C33507294733002BD633CB333AC9AC844AC77C2F4B890B3C13B9C162792AC5EC3AC6B7AFNDtFD" TargetMode="External"/><Relationship Id="rId10" Type="http://schemas.openxmlformats.org/officeDocument/2006/relationships/hyperlink" Target="consultantplus://offline/ref=8819AB20C33507294733002BD633CB3339C2AA8E41CD7C2F4B890B3C13B9C162792AC5EC3AC6B7A1NDt0D" TargetMode="External"/><Relationship Id="rId19" Type="http://schemas.openxmlformats.org/officeDocument/2006/relationships/hyperlink" Target="consultantplus://offline/ref=8819AB20C33507294733002BD633CB3339CAAC8248C27C2F4B890B3C13B9C162792AC5EC3AC6B7A8NDt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9AB20C33507294733002BD633CB3339CAAA8E41C07C2F4B890B3C13NBt9D" TargetMode="External"/><Relationship Id="rId14" Type="http://schemas.openxmlformats.org/officeDocument/2006/relationships/hyperlink" Target="consultantplus://offline/ref=8819AB20C33507294733002BD633CB333AC9AC844AC77C2F4B890B3C13B9C162792AC5EC3AC6B7AFNDt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2</cp:revision>
  <dcterms:created xsi:type="dcterms:W3CDTF">2017-11-17T03:45:00Z</dcterms:created>
  <dcterms:modified xsi:type="dcterms:W3CDTF">2017-11-17T04:13:00Z</dcterms:modified>
</cp:coreProperties>
</file>